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rFonts w:ascii="Arial" w:hAnsi="Arial" w:cs="Arial"/>
          <w:b/>
          <w:sz w:val="24"/>
          <w:szCs w:val="24"/>
        </w:rPr>
        <w:tab/>
      </w:r>
      <w:r>
        <w:rPr>
          <w:rFonts w:hint="eastAsia" w:ascii="Arial" w:hAnsi="Arial" w:cs="Arial"/>
          <w:b/>
          <w:color w:val="000000"/>
          <w:sz w:val="24"/>
          <w:szCs w:val="24"/>
        </w:rPr>
        <w:t>R4-2208725</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May 09 – May 20,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Arial"/>
          <w:b/>
          <w:sz w:val="24"/>
          <w:szCs w:val="24"/>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UE Rx/Tx and gNB Rx/Tx timing delay mitigation</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9.20.1.1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RAN4 102-e, there were some discussions on TEG and a few open issues remain.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5"/>
              <w:rPr>
                <w:lang w:val="en-US"/>
              </w:rPr>
            </w:pPr>
            <w:r>
              <w:rPr>
                <w:lang w:val="en-US"/>
              </w:rPr>
              <w:t>Issue 1-</w:t>
            </w:r>
            <w:r>
              <w:rPr>
                <w:rFonts w:hint="eastAsia"/>
                <w:lang w:val="en-US"/>
              </w:rPr>
              <w:t>2</w:t>
            </w:r>
            <w:r>
              <w:rPr>
                <w:lang w:val="en-US"/>
              </w:rPr>
              <w:t>-</w:t>
            </w:r>
            <w:r>
              <w:rPr>
                <w:rFonts w:hint="eastAsia"/>
                <w:lang w:val="en-US"/>
              </w:rPr>
              <w:t>1</w:t>
            </w:r>
            <w:r>
              <w:rPr>
                <w:lang w:val="en-US"/>
              </w:rPr>
              <w:t xml:space="preserve"> The temporal validity</w:t>
            </w:r>
            <w:r>
              <w:rPr>
                <w:rFonts w:hint="eastAsia"/>
                <w:lang w:val="en-US"/>
              </w:rPr>
              <w:t xml:space="preserve"> of</w:t>
            </w:r>
            <w:r>
              <w:rPr>
                <w:lang w:val="en-US"/>
              </w:rPr>
              <w:t xml:space="preserve"> UE</w:t>
            </w:r>
            <w:r>
              <w:rPr>
                <w:rFonts w:hint="eastAsia"/>
                <w:lang w:val="en-US"/>
              </w:rPr>
              <w:t>/TRP</w:t>
            </w:r>
            <w:r>
              <w:rPr>
                <w:lang w:val="en-US"/>
              </w:rPr>
              <w:t xml:space="preserve"> Tx TEGs </w:t>
            </w:r>
          </w:p>
          <w:p>
            <w:pPr>
              <w:rPr>
                <w:rFonts w:eastAsiaTheme="minorEastAsia"/>
                <w:i/>
                <w:lang w:val="en-US" w:eastAsia="zh-CN"/>
              </w:rPr>
            </w:pPr>
            <w:r>
              <w:rPr>
                <w:rFonts w:hint="eastAsia" w:eastAsiaTheme="minorEastAsia"/>
                <w:i/>
                <w:lang w:val="en-US" w:eastAsia="zh-CN"/>
              </w:rPr>
              <w:t>Agreements:</w:t>
            </w:r>
          </w:p>
          <w:p>
            <w:pPr>
              <w:pStyle w:val="25"/>
              <w:numPr>
                <w:ilvl w:val="0"/>
                <w:numId w:val="6"/>
              </w:numPr>
              <w:overflowPunct/>
              <w:autoSpaceDE/>
              <w:autoSpaceDN/>
              <w:adjustRightInd/>
              <w:spacing w:after="120" w:line="240" w:lineRule="auto"/>
              <w:ind w:firstLineChars="0"/>
              <w:textAlignment w:val="auto"/>
              <w:rPr>
                <w:bCs/>
              </w:rPr>
            </w:pPr>
            <w:r>
              <w:rPr>
                <w:rFonts w:hint="eastAsia" w:eastAsiaTheme="minorEastAsia"/>
                <w:bCs/>
                <w:lang w:eastAsia="zh-CN"/>
              </w:rPr>
              <w:t>W</w:t>
            </w:r>
            <w:r>
              <w:rPr>
                <w:bCs/>
              </w:rPr>
              <w:t>ait RAN2 progress on how to signal a change in association between SRS resources to Tx TEGs</w:t>
            </w:r>
            <w:r>
              <w:rPr>
                <w:rFonts w:hint="eastAsia" w:eastAsiaTheme="minorEastAsia"/>
                <w:bCs/>
                <w:lang w:eastAsia="zh-CN"/>
              </w:rPr>
              <w:t xml:space="preserve">. </w:t>
            </w:r>
          </w:p>
          <w:p>
            <w:pPr>
              <w:pStyle w:val="5"/>
              <w:rPr>
                <w:lang w:val="en-US"/>
              </w:rPr>
            </w:pPr>
            <w:r>
              <w:rPr>
                <w:rFonts w:eastAsiaTheme="minorEastAsia"/>
                <w:bCs/>
                <w:lang w:eastAsia="zh-CN"/>
              </w:rPr>
              <w:t>FFS:</w:t>
            </w:r>
            <w:r>
              <w:rPr>
                <w:rFonts w:hint="eastAsia" w:eastAsiaTheme="minorEastAsia"/>
                <w:bCs/>
                <w:lang w:eastAsia="zh-CN"/>
              </w:rPr>
              <w:t xml:space="preserve"> </w:t>
            </w:r>
            <w:r>
              <w:rPr>
                <w:rFonts w:eastAsiaTheme="minorEastAsia"/>
                <w:bCs/>
                <w:lang w:eastAsia="zh-CN"/>
              </w:rPr>
              <w:t>The applicability of reported UE Rx TEG agreed in last meeting can be reused for UE/TRP Tx TEG i.e. The applicability of reported UE/TRP Tx TEG is limited to the measurements contained within the measurement report in which the Tx TEG information is provided. And it applies only to the measurements that are tagged with the corresponding Tx TEG ID.</w:t>
            </w:r>
          </w:p>
          <w:p>
            <w:pPr>
              <w:pStyle w:val="5"/>
              <w:rPr>
                <w:lang w:val="en-US"/>
              </w:rPr>
            </w:pPr>
          </w:p>
          <w:p>
            <w:pPr>
              <w:pStyle w:val="5"/>
              <w:rPr>
                <w:lang w:val="en-US"/>
              </w:rPr>
            </w:pPr>
            <w:r>
              <w:rPr>
                <w:lang w:val="en-US"/>
              </w:rPr>
              <w:t>Issue 1-</w:t>
            </w:r>
            <w:r>
              <w:rPr>
                <w:rFonts w:hint="eastAsia"/>
                <w:lang w:val="en-US"/>
              </w:rPr>
              <w:t>2</w:t>
            </w:r>
            <w:r>
              <w:rPr>
                <w:lang w:val="en-US"/>
              </w:rPr>
              <w:t>-</w:t>
            </w:r>
            <w:r>
              <w:rPr>
                <w:rFonts w:hint="eastAsia"/>
                <w:lang w:val="en-US"/>
              </w:rPr>
              <w:t>2</w:t>
            </w:r>
            <w:r>
              <w:rPr>
                <w:lang w:val="en-US"/>
              </w:rPr>
              <w:t xml:space="preserve"> The temporal validity</w:t>
            </w:r>
            <w:r>
              <w:rPr>
                <w:rFonts w:hint="eastAsia"/>
                <w:lang w:val="en-US"/>
              </w:rPr>
              <w:t xml:space="preserve"> of</w:t>
            </w:r>
            <w:r>
              <w:rPr>
                <w:lang w:val="en-US"/>
              </w:rPr>
              <w:t xml:space="preserve"> UE</w:t>
            </w:r>
            <w:r>
              <w:rPr>
                <w:rFonts w:hint="eastAsia"/>
                <w:lang w:val="en-US"/>
              </w:rPr>
              <w:t>/TRP</w:t>
            </w:r>
            <w:r>
              <w:rPr>
                <w:lang w:val="en-US"/>
              </w:rPr>
              <w:t xml:space="preserve"> </w:t>
            </w:r>
            <w:r>
              <w:rPr>
                <w:rFonts w:hint="eastAsia"/>
                <w:lang w:val="en-US"/>
              </w:rPr>
              <w:t>Rx</w:t>
            </w:r>
            <w:r>
              <w:rPr>
                <w:lang w:val="en-US"/>
              </w:rPr>
              <w:t xml:space="preserve">Tx TEGs? </w:t>
            </w:r>
          </w:p>
          <w:p>
            <w:pPr>
              <w:rPr>
                <w:rFonts w:eastAsiaTheme="minorEastAsia"/>
                <w:i/>
                <w:color w:val="0070C0"/>
                <w:lang w:val="en-US" w:eastAsia="zh-CN"/>
              </w:rPr>
            </w:pPr>
            <w:r>
              <w:rPr>
                <w:rFonts w:hint="eastAsia" w:eastAsiaTheme="minorEastAsia"/>
                <w:i/>
                <w:color w:val="0070C0"/>
                <w:lang w:val="en-US" w:eastAsia="zh-CN"/>
              </w:rPr>
              <w:t xml:space="preserve">Candidate options: </w:t>
            </w:r>
          </w:p>
          <w:p>
            <w:pPr>
              <w:pStyle w:val="25"/>
              <w:numPr>
                <w:ilvl w:val="0"/>
                <w:numId w:val="6"/>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O</w:t>
            </w:r>
            <w:r>
              <w:rPr>
                <w:rFonts w:hint="eastAsia" w:eastAsiaTheme="minorEastAsia"/>
                <w:bCs/>
                <w:lang w:eastAsia="zh-CN"/>
              </w:rPr>
              <w:t xml:space="preserve">ption 1: </w:t>
            </w:r>
          </w:p>
          <w:p>
            <w:pPr>
              <w:pStyle w:val="25"/>
              <w:numPr>
                <w:ilvl w:val="1"/>
                <w:numId w:val="6"/>
              </w:numPr>
              <w:overflowPunct/>
              <w:autoSpaceDE/>
              <w:autoSpaceDN/>
              <w:adjustRightInd/>
              <w:spacing w:after="120" w:line="240" w:lineRule="auto"/>
              <w:ind w:firstLineChars="0"/>
              <w:textAlignment w:val="auto"/>
              <w:rPr>
                <w:bCs/>
              </w:rPr>
            </w:pPr>
            <w:r>
              <w:rPr>
                <w:bCs/>
              </w:rPr>
              <w:t>The applicability of reported UE Rx TEG agreed in last meeting can be reused for UE/TRP RxTx TEG i.e. The applicability of reported UE/TRP RxTx TEG is limited to the measurements contained within the measurement report in which the RxTx TEG information is provided. And it applies only to the measurements that are tagged with the corresponding RxTx TEG ID</w:t>
            </w:r>
            <w:r>
              <w:rPr>
                <w:rFonts w:hint="eastAsia" w:eastAsiaTheme="minorEastAsia"/>
                <w:bCs/>
                <w:lang w:eastAsia="zh-CN"/>
              </w:rPr>
              <w:t xml:space="preserve">. </w:t>
            </w:r>
          </w:p>
          <w:p>
            <w:pPr>
              <w:pStyle w:val="25"/>
              <w:numPr>
                <w:ilvl w:val="0"/>
                <w:numId w:val="6"/>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O</w:t>
            </w:r>
            <w:r>
              <w:rPr>
                <w:rFonts w:hint="eastAsia" w:eastAsiaTheme="minorEastAsia"/>
                <w:bCs/>
                <w:lang w:eastAsia="zh-CN"/>
              </w:rPr>
              <w:t xml:space="preserve">ption 2: </w:t>
            </w:r>
          </w:p>
          <w:p>
            <w:pPr>
              <w:pStyle w:val="25"/>
              <w:numPr>
                <w:ilvl w:val="1"/>
                <w:numId w:val="6"/>
              </w:numPr>
              <w:overflowPunct/>
              <w:autoSpaceDE/>
              <w:autoSpaceDN/>
              <w:adjustRightInd/>
              <w:spacing w:after="120" w:line="240" w:lineRule="auto"/>
              <w:ind w:firstLineChars="0"/>
              <w:textAlignment w:val="auto"/>
              <w:rPr>
                <w:bCs/>
              </w:rPr>
            </w:pPr>
            <w:r>
              <w:rPr>
                <w:rFonts w:eastAsiaTheme="minorEastAsia"/>
                <w:bCs/>
                <w:lang w:eastAsia="zh-CN"/>
              </w:rPr>
              <w:t>U</w:t>
            </w:r>
            <w:r>
              <w:rPr>
                <w:rFonts w:hint="eastAsia" w:eastAsiaTheme="minorEastAsia"/>
                <w:bCs/>
                <w:lang w:eastAsia="zh-CN"/>
              </w:rPr>
              <w:t xml:space="preserve">p to RAN2. </w:t>
            </w:r>
          </w:p>
          <w:p>
            <w:pPr>
              <w:pStyle w:val="25"/>
              <w:numPr>
                <w:ilvl w:val="0"/>
                <w:numId w:val="0"/>
              </w:numPr>
              <w:overflowPunct/>
              <w:autoSpaceDE/>
              <w:autoSpaceDN/>
              <w:adjustRightInd/>
              <w:spacing w:after="120" w:line="240" w:lineRule="auto"/>
              <w:textAlignment w:val="auto"/>
              <w:rPr>
                <w:rFonts w:hint="eastAsia" w:eastAsiaTheme="minorEastAsia"/>
                <w:bCs/>
                <w:lang w:val="en-US" w:eastAsia="zh-CN"/>
              </w:rPr>
            </w:pPr>
          </w:p>
        </w:tc>
      </w:tr>
    </w:tbl>
    <w:p>
      <w:pPr>
        <w:pStyle w:val="35"/>
        <w:numPr>
          <w:ilvl w:val="0"/>
          <w:numId w:val="0"/>
        </w:numPr>
        <w:ind w:leftChars="0"/>
        <w:rPr>
          <w:rFonts w:hint="eastAsia"/>
          <w:b w:val="0"/>
          <w:bCs/>
          <w:sz w:val="22"/>
          <w:szCs w:val="22"/>
          <w:lang w:val="en-US" w:eastAsia="zh-CN"/>
        </w:rPr>
      </w:pPr>
    </w:p>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val="0"/>
          <w:bCs/>
          <w:sz w:val="22"/>
          <w:szCs w:val="22"/>
          <w:lang w:val="en-US" w:eastAsia="zh-CN"/>
        </w:rPr>
        <w:t>One of the main issues discussed was the feasibility of TEG. In the RAN1 LS which triggered the work in RAN4, the definition of TE and TEG is given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ind w:left="1440" w:hanging="1440"/>
              <w:rPr>
                <w:lang w:eastAsia="zh-CN"/>
              </w:rPr>
            </w:pPr>
            <w:r>
              <w:rPr>
                <w:highlight w:val="green"/>
                <w:lang w:eastAsia="zh-CN"/>
              </w:rPr>
              <w:t>Agreement:</w:t>
            </w:r>
          </w:p>
          <w:p>
            <w:r>
              <w:t xml:space="preserve">The following definitions </w:t>
            </w:r>
            <w:r>
              <w:rPr>
                <w:lang w:eastAsia="zh-CN"/>
              </w:rPr>
              <w:t>are used for the purpose of discussion of internal timing errors (these terms are not agreed to be included in the specifications):</w:t>
            </w:r>
          </w:p>
          <w:p>
            <w:pPr>
              <w:numPr>
                <w:ilvl w:val="0"/>
                <w:numId w:val="7"/>
              </w:numPr>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pPr>
              <w:numPr>
                <w:ilvl w:val="0"/>
                <w:numId w:val="7"/>
              </w:numPr>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pPr>
              <w:numPr>
                <w:ilvl w:val="0"/>
                <w:numId w:val="7"/>
              </w:numPr>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pPr>
              <w:numPr>
                <w:ilvl w:val="0"/>
                <w:numId w:val="7"/>
              </w:numPr>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pPr>
              <w:numPr>
                <w:ilvl w:val="0"/>
                <w:numId w:val="7"/>
              </w:numPr>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pPr>
              <w:numPr>
                <w:ilvl w:val="0"/>
                <w:numId w:val="7"/>
              </w:numPr>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pPr>
              <w:numPr>
                <w:ilvl w:val="0"/>
                <w:numId w:val="7"/>
              </w:numPr>
              <w:rPr>
                <w:rFonts w:hint="default"/>
                <w:b w:val="0"/>
                <w:bCs/>
                <w:sz w:val="22"/>
                <w:szCs w:val="22"/>
                <w:vertAlign w:val="baseline"/>
                <w:lang w:val="en-US"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pPr>
              <w:numPr>
                <w:ilvl w:val="0"/>
                <w:numId w:val="7"/>
              </w:numPr>
              <w:rPr>
                <w:rFonts w:hint="default"/>
                <w:b w:val="0"/>
                <w:bCs/>
                <w:sz w:val="22"/>
                <w:szCs w:val="22"/>
                <w:vertAlign w:val="baseline"/>
                <w:lang w:val="en-US"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tc>
      </w:tr>
    </w:tbl>
    <w:p>
      <w:pPr>
        <w:rPr>
          <w:rFonts w:hint="default"/>
          <w:b w:val="0"/>
          <w:bCs/>
          <w:sz w:val="22"/>
          <w:szCs w:val="22"/>
          <w:lang w:val="en-US" w:eastAsia="zh-CN"/>
        </w:rPr>
      </w:pPr>
    </w:p>
    <w:p>
      <w:pPr>
        <w:rPr>
          <w:rFonts w:hint="default"/>
          <w:b w:val="0"/>
          <w:bCs/>
          <w:sz w:val="22"/>
          <w:szCs w:val="22"/>
          <w:lang w:val="en-US" w:eastAsia="zh-CN"/>
        </w:rPr>
      </w:pPr>
      <w:r>
        <w:rPr>
          <w:rFonts w:hint="eastAsia"/>
          <w:b w:val="0"/>
          <w:bCs/>
          <w:sz w:val="22"/>
          <w:szCs w:val="22"/>
          <w:lang w:val="en-US" w:eastAsia="zh-CN"/>
        </w:rPr>
        <w:t>According to the definition of TE and TEG, it seems that the relevant impacting factors are at least the RF chains which are actually used for radio transmissions and the antenna panels. Theoretically the TE can be measured and calibrated upon manufacturing and testing of the UE or TRP. However, it</w:t>
      </w:r>
      <w:r>
        <w:rPr>
          <w:rFonts w:hint="default"/>
          <w:b w:val="0"/>
          <w:bCs/>
          <w:sz w:val="22"/>
          <w:szCs w:val="22"/>
          <w:lang w:val="en-US" w:eastAsia="zh-CN"/>
        </w:rPr>
        <w:t>’</w:t>
      </w:r>
      <w:r>
        <w:rPr>
          <w:rFonts w:hint="eastAsia"/>
          <w:b w:val="0"/>
          <w:bCs/>
          <w:sz w:val="22"/>
          <w:szCs w:val="22"/>
          <w:lang w:val="en-US" w:eastAsia="zh-CN"/>
        </w:rPr>
        <w:t>s uncertain whether the TE property will be time-variant and how the drifts would be. It can be also observed that the Rx TEG is described in a similar way with Tx TEG.</w:t>
      </w:r>
    </w:p>
    <w:p>
      <w:pPr>
        <w:rPr>
          <w:rFonts w:hint="default"/>
          <w:b w:val="0"/>
          <w:bCs/>
          <w:sz w:val="22"/>
          <w:szCs w:val="22"/>
          <w:lang w:val="en-US" w:eastAsia="zh-CN"/>
        </w:rPr>
      </w:pPr>
    </w:p>
    <w:p>
      <w:pPr>
        <w:spacing w:after="120"/>
        <w:rPr>
          <w:b/>
          <w:bCs/>
          <w:sz w:val="22"/>
          <w:szCs w:val="22"/>
          <w:u w:val="single"/>
        </w:rPr>
      </w:pPr>
      <w:r>
        <w:rPr>
          <w:rFonts w:hint="eastAsia"/>
          <w:b/>
          <w:bCs/>
          <w:sz w:val="22"/>
          <w:szCs w:val="22"/>
          <w:u w:val="single"/>
        </w:rPr>
        <w:t xml:space="preserve">The temporal validity of UE/TRP </w:t>
      </w:r>
      <w:r>
        <w:rPr>
          <w:rFonts w:hint="eastAsia" w:eastAsia="宋体"/>
          <w:b/>
          <w:bCs/>
          <w:sz w:val="22"/>
          <w:szCs w:val="22"/>
          <w:u w:val="single"/>
          <w:lang w:val="en-US" w:eastAsia="zh-CN"/>
        </w:rPr>
        <w:t xml:space="preserve">Tx or </w:t>
      </w:r>
      <w:r>
        <w:rPr>
          <w:rFonts w:hint="eastAsia"/>
          <w:b/>
          <w:bCs/>
          <w:sz w:val="22"/>
          <w:szCs w:val="22"/>
          <w:u w:val="single"/>
        </w:rPr>
        <w:t>RxTx TEGs?</w:t>
      </w:r>
    </w:p>
    <w:p>
      <w:pPr>
        <w:spacing w:after="120"/>
        <w:rPr>
          <w:rFonts w:hint="default" w:eastAsiaTheme="minorEastAsia"/>
          <w:bCs/>
          <w:sz w:val="22"/>
          <w:szCs w:val="22"/>
          <w:lang w:val="en-US" w:eastAsia="zh-CN"/>
        </w:rPr>
      </w:pPr>
      <w:r>
        <w:rPr>
          <w:rFonts w:hint="eastAsia" w:eastAsia="宋体"/>
          <w:b w:val="0"/>
          <w:bCs w:val="0"/>
          <w:sz w:val="22"/>
          <w:szCs w:val="22"/>
          <w:u w:val="none"/>
          <w:lang w:val="en-US" w:eastAsia="zh-CN"/>
        </w:rPr>
        <w:t>In our view the two options are not mutually exclusive, since one option is talking about the signaling perspective of the feature while the one focuses on how to associate the measurement results with a certain TEG. Pending on RAN2 agreement on the signaling aspects, we think that at least the following proposal can be agreed. How to signal such a association can be up to RAN2, while in RAN4 we can carry on our work.</w:t>
      </w:r>
    </w:p>
    <w:p>
      <w:pPr>
        <w:pStyle w:val="35"/>
        <w:rPr>
          <w:rFonts w:hint="default"/>
          <w:lang w:val="en-US" w:eastAsia="zh-CN"/>
        </w:rPr>
      </w:pPr>
      <w:r>
        <w:rPr>
          <w:bCs/>
        </w:rPr>
        <w:t>The applicability of reported UE Rx TEG agreed in last meeting can be reused for UE/TRP RxTx TEG i.e. The applicability of reported UE/TRP RxTx TEG is limited to the measurements contained within the measurement report in which the RxTx TEG information is provided. And it applies only to the measurements that are tagged with the corresponding RxTx TEG ID</w:t>
      </w:r>
      <w:r>
        <w:rPr>
          <w:rFonts w:hint="eastAsia"/>
          <w:b/>
          <w:bCs w:val="0"/>
          <w:sz w:val="22"/>
          <w:szCs w:val="22"/>
          <w:lang w:val="en-US" w:eastAsia="zh-CN"/>
        </w:rPr>
        <w:t>.</w:t>
      </w:r>
    </w:p>
    <w:p>
      <w:pPr>
        <w:pStyle w:val="27"/>
        <w:jc w:val="both"/>
      </w:pPr>
      <w:r>
        <w:rPr>
          <w:rFonts w:hint="eastAsia"/>
          <w:lang w:val="en-US" w:eastAsia="zh-CN"/>
        </w:rPr>
        <w:t>3</w:t>
      </w:r>
      <w:r>
        <w:tab/>
      </w:r>
      <w:r>
        <w:t>Conclusion</w:t>
      </w:r>
    </w:p>
    <w:p>
      <w:pPr>
        <w:pStyle w:val="35"/>
        <w:numPr>
          <w:ilvl w:val="0"/>
          <w:numId w:val="0"/>
        </w:numPr>
        <w:ind w:leftChars="0"/>
        <w:rPr>
          <w:rFonts w:hint="default"/>
          <w:lang w:val="en-US" w:eastAsia="zh-CN"/>
        </w:rPr>
      </w:pPr>
      <w:r>
        <w:rPr>
          <w:rFonts w:hint="eastAsia"/>
          <w:b/>
          <w:bCs w:val="0"/>
          <w:sz w:val="22"/>
          <w:szCs w:val="22"/>
          <w:lang w:val="en-US" w:eastAsia="zh-CN"/>
        </w:rPr>
        <w:t xml:space="preserve">Proposal 1: </w:t>
      </w:r>
      <w:r>
        <w:rPr>
          <w:bCs/>
        </w:rPr>
        <w:t>The applicability of reported UE Rx TEG agreed in last meeting can be reused for UE/TRP RxTx TEG i.e. The applicability of reported UE/TRP RxTx TEG is limited to the measurements contained within the measurement report in which the RxTx TEG information is provided. And it applies only to the measurements that are tagged with the corresponding RxTx TEG ID</w:t>
      </w:r>
      <w:r>
        <w:rPr>
          <w:rFonts w:hint="eastAsia"/>
          <w:b/>
          <w:bCs w:val="0"/>
          <w:sz w:val="22"/>
          <w:szCs w:val="22"/>
          <w:lang w:val="en-US" w:eastAsia="zh-CN"/>
        </w:rPr>
        <w:t>.</w:t>
      </w:r>
    </w:p>
    <w:p>
      <w:pPr>
        <w:pStyle w:val="27"/>
        <w:jc w:val="both"/>
      </w:pPr>
      <w:r>
        <w:t>References</w:t>
      </w:r>
    </w:p>
    <w:p>
      <w:pPr>
        <w:numPr>
          <w:ilvl w:val="0"/>
          <w:numId w:val="8"/>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R4-2206997</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28C1EFE"/>
    <w:multiLevelType w:val="multilevel"/>
    <w:tmpl w:val="528C1EF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7"/>
  </w:num>
  <w:num w:numId="5">
    <w:abstractNumId w:val="4"/>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7D20C4"/>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876B7F"/>
    <w:rsid w:val="099F556C"/>
    <w:rsid w:val="09AC0546"/>
    <w:rsid w:val="09C640C3"/>
    <w:rsid w:val="0A5763D4"/>
    <w:rsid w:val="0A7BF868"/>
    <w:rsid w:val="0A9573F8"/>
    <w:rsid w:val="0B094F12"/>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034D5E"/>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A65B0D"/>
    <w:rsid w:val="11F71F3A"/>
    <w:rsid w:val="11FC7DAB"/>
    <w:rsid w:val="122017FC"/>
    <w:rsid w:val="126D3A54"/>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8A5755"/>
    <w:rsid w:val="14B36B91"/>
    <w:rsid w:val="14DE3D1B"/>
    <w:rsid w:val="15DD3861"/>
    <w:rsid w:val="15E078A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4E323C"/>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564907"/>
    <w:rsid w:val="256A021C"/>
    <w:rsid w:val="25962669"/>
    <w:rsid w:val="25A02CA6"/>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80800"/>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1F03BD0"/>
    <w:rsid w:val="320F0A18"/>
    <w:rsid w:val="32351CB2"/>
    <w:rsid w:val="324554E5"/>
    <w:rsid w:val="325D2B5A"/>
    <w:rsid w:val="327661FC"/>
    <w:rsid w:val="32A56801"/>
    <w:rsid w:val="32B33B5A"/>
    <w:rsid w:val="32EE0B02"/>
    <w:rsid w:val="32EE27B2"/>
    <w:rsid w:val="330230FE"/>
    <w:rsid w:val="33372789"/>
    <w:rsid w:val="333876C2"/>
    <w:rsid w:val="33484A1E"/>
    <w:rsid w:val="335F47E9"/>
    <w:rsid w:val="33FB17D8"/>
    <w:rsid w:val="346E4104"/>
    <w:rsid w:val="3476470C"/>
    <w:rsid w:val="34A17846"/>
    <w:rsid w:val="34D83C16"/>
    <w:rsid w:val="34F42A3D"/>
    <w:rsid w:val="3509315E"/>
    <w:rsid w:val="351A4CC6"/>
    <w:rsid w:val="355F30F6"/>
    <w:rsid w:val="35FA57D0"/>
    <w:rsid w:val="363F5D54"/>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353EC"/>
    <w:rsid w:val="40462AC9"/>
    <w:rsid w:val="40566CBF"/>
    <w:rsid w:val="40776BAF"/>
    <w:rsid w:val="407921CE"/>
    <w:rsid w:val="40C04FE0"/>
    <w:rsid w:val="417D4C19"/>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5E10E87"/>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033D13"/>
    <w:rsid w:val="492D1A01"/>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139A5"/>
    <w:rsid w:val="4E652C5C"/>
    <w:rsid w:val="4E9105E7"/>
    <w:rsid w:val="4E9145C5"/>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C279B"/>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BB68BF"/>
    <w:rsid w:val="6CD4731D"/>
    <w:rsid w:val="6D0E374B"/>
    <w:rsid w:val="6D121910"/>
    <w:rsid w:val="6D3205F0"/>
    <w:rsid w:val="6D4C048E"/>
    <w:rsid w:val="6D5301B7"/>
    <w:rsid w:val="6D862B60"/>
    <w:rsid w:val="6DB702B4"/>
    <w:rsid w:val="6E4462CC"/>
    <w:rsid w:val="6E504618"/>
    <w:rsid w:val="6EA8653C"/>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1E96806"/>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5AE67DC"/>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B9370B6"/>
    <w:rsid w:val="7C2A4FF2"/>
    <w:rsid w:val="7C41564D"/>
    <w:rsid w:val="7C8E16C9"/>
    <w:rsid w:val="7CA10AF6"/>
    <w:rsid w:val="7CB561C0"/>
    <w:rsid w:val="7CCC277F"/>
    <w:rsid w:val="7CE3033A"/>
    <w:rsid w:val="7D0A2590"/>
    <w:rsid w:val="7D550752"/>
    <w:rsid w:val="7D6A7A29"/>
    <w:rsid w:val="7DA0035E"/>
    <w:rsid w:val="7DC16877"/>
    <w:rsid w:val="7DCC5A45"/>
    <w:rsid w:val="7DD652E7"/>
    <w:rsid w:val="7E630B4F"/>
    <w:rsid w:val="7E7F1DC3"/>
    <w:rsid w:val="7E7F4EA4"/>
    <w:rsid w:val="7E8B6D0C"/>
    <w:rsid w:val="7E9A2799"/>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2022-04-25T09:22:29Z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